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xqkpewmj59r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Self-Worth Anchor Worksheet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reflection helps you identify where your self‑worth is acting as a ceiling—and how to intentionally raise it by separating who you are from what you do.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02f8agn7n3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Where Do I Feel “Not Enough” Right Now?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any area where this feeling has shown up recently: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Clinic performance / medicine</w:t>
        <w:br w:type="textWrapping"/>
        <w:t xml:space="preserve">☐ Leadership or management</w:t>
        <w:br w:type="textWrapping"/>
        <w:t xml:space="preserve">☐ Parenting or family roles</w:t>
        <w:br w:type="textWrapping"/>
        <w:t xml:space="preserve">☐ Relationships or friendships</w:t>
        <w:br w:type="textWrapping"/>
        <w:t xml:space="preserve">☐ Body / health / energy</w:t>
        <w:br w:type="textWrapping"/>
        <w:t xml:space="preserve">☐ Money or financial pressure</w:t>
        <w:br w:type="textWrapping"/>
        <w:t xml:space="preserve">☐ Comparison to peers or social media</w:t>
        <w:br w:type="textWrapping"/>
        <w:t xml:space="preserve">☐ Other: 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Describe the situation: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4b7ff27napn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What Story Is My Brain Telling Me?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(Write the exact sentence you hear in your head.)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“If I were better at ____________________, then I would finally feel ____________________.”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p155i4y8w0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What Am I Using as a Worth‑Metric?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Circle anything you’ve been using—consciously or unconsciously—to measure your value: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feedback or reviews</w:t>
        <w:br w:type="textWrapping"/>
        <w:t xml:space="preserve">☐ Revenue / production</w:t>
        <w:br w:type="textWrapping"/>
        <w:t xml:space="preserve">☐ Job title or role</w:t>
        <w:br w:type="textWrapping"/>
        <w:t xml:space="preserve">☐ Social media engagement</w:t>
        <w:br w:type="textWrapping"/>
        <w:t xml:space="preserve">☐ Being needed by everyone</w:t>
        <w:br w:type="textWrapping"/>
        <w:t xml:space="preserve">☐ Being perfect / mistake‑free</w:t>
        <w:br w:type="textWrapping"/>
        <w:t xml:space="preserve">☐ Approval from leaders or peers</w:t>
        <w:br w:type="textWrapping"/>
        <w:t xml:space="preserve">☐ Comparison to others</w:t>
        <w:br w:type="textWrapping"/>
        <w:t xml:space="preserve">☐ Other: 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wg55ez8mka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Reality Check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honestly: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this metric disappeared tomorrow, would I still be worthy?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 ☐ I’m not sure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or why not?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yi3qbg5wl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5: If My Worth Were Non‑Negotiable…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Finish these sentences: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Even if this situation never changes, I am still worthy because: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qualities I bring to the table regardless of outcomes are: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Kindness ☐ Compassion ☐ Empathy ☐ Integrity ☐ Courage ☐ Curiosity ☐ Patience ☐ Other: 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0pwesjf17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6: My Worth Anchor Statement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sentence you want to practice believing—especially on hard days: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“Even when ______________________________________, I am still ______________________________________.”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cw22c3xk5a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7: One Small Action From Worth (Not Fear)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is one action you can take this week that comes from self‑worth—not proving, pleasing, or performing?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Reminder: You don’t build worth by climbing higher. You climb higher when your worth is already secure.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