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bCs w:val="1"/>
          <w:sz w:val="46"/>
          <w:szCs w:val="46"/>
        </w:rPr>
      </w:pPr>
      <w:r w:rsidDel="00000000" w:rsidR="00000000" w:rsidRPr="00000000">
        <w:rPr>
          <w:rtl w:val="0"/>
        </w:rPr>
      </w:r>
    </w:p>
    <w:p w:rsidR="00000000" w:rsidDel="00000000" w:rsidP="00000000" w:rsidRDefault="00000000" w:rsidRPr="00000000" w14:paraId="00000002">
      <w:pPr>
        <w:jc w:val="left"/>
        <w:rPr>
          <w:rFonts w:ascii="Arial" w:cs="Arial" w:eastAsia="Arial" w:hAnsi="Arial"/>
          <w:b w:val="1"/>
          <w:bCs w:val="1"/>
          <w:sz w:val="46"/>
          <w:szCs w:val="46"/>
        </w:rPr>
      </w:pPr>
      <w:r w:rsidDel="00000000" w:rsidR="00000000" w:rsidRPr="00000000">
        <w:rPr>
          <w:rFonts w:ascii="Arial" w:cs="Arial" w:eastAsia="Arial" w:hAnsi="Arial"/>
          <w:b w:val="1"/>
          <w:bCs w:val="1"/>
          <w:sz w:val="46"/>
          <w:szCs w:val="46"/>
          <w:rtl w:val="0"/>
        </w:rPr>
        <w:t xml:space="preserve">The Coaching A Conversation SOP</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A coaching conversation is used to provide an employee with a clear description of the current problem and action plan to resolve the issue. These conversations should be positive and constructive. </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supervisor should state the problem as directly and clearly as possible, making sure to define what needs to change. The employee should be able to articulate the problem and the desired change back to the supervisor. This is not only encouraged but required when having a coaching conversation.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Prior to the conversation tools should be gathered that can be given to the employee to help them resolve the issue. </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Goals should be set up with the employee that should be clear and measurable. Brief meetings should be scheduled every 2 weeks that will be used to ensure progress is being made. These will also allow the supervisor to provide feedback and answer questions. The timeline for resolution of the problem should be no longer than 90 days.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After the coaching conversation has taken place, the coaching form is signed by both the employee and supervisor and filed to the employee’s coaching document file.</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Each check-in meeting is also documented using the follow-up form. The follow-up form is signed by both the employee and supervisor and files to the employee’s coaching document file.</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drawing>
        <wp:inline distB="114300" distT="114300" distL="114300" distR="114300">
          <wp:extent cx="5943600" cy="749300"/>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iWVcACrikU5sxEneaNs9rLfcQ==">CgMxLjA4AHIhMTVJdUoxY0o2TE1DaEY2NEFDS2lHN1Iya3NYc2xfaTVT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2021-04-22T17:44:00Z</dcterms:created>
  <dc:creator>Emily King</dc:creator>
</cp:coreProperties>
</file>