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46"/>
          <w:szCs w:val="46"/>
        </w:rPr>
      </w:pPr>
      <w:r w:rsidDel="00000000" w:rsidR="00000000" w:rsidRPr="00000000">
        <w:rPr>
          <w:b w:val="1"/>
          <w:bCs w:val="1"/>
          <w:sz w:val="46"/>
          <w:szCs w:val="46"/>
          <w:rtl w:val="0"/>
        </w:rPr>
        <w:t xml:space="preserve">Payment Plans SOP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Per [Clinic Name] policy regarding payment (see Standard Operating Procedure: Payment) all services and products must be paid before the patient can exit the building. An exception can be made for preapproved clients that trade services with [Clinic Name] . However, when all appropriate actions have been taken regarding payment, there may be situations in which payment in full cannot be made. At this time the following actions should take place to ensure payment;</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A thorough explanation and an attempt to use Care Credit to pay for the invoice.</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An attempt for them to borrow money from a family member and/or friend</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Have the attending veterinarian acting within their discretion review the case to see if there is another course of action that may be more suitable to the client’s budget. If changes are made to fit budget constraints, the veterinarian will go over why any deviation from the advised course of action is not ideal.</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Upon approval by the Director of Finance, Director of IT, Director of Operations, or the DVM on the case, a payment agreement can be set up using the Rectangle credit card processing system (see setting up Payment Plan SOP), laying out the terms for compensation of products and services listed below.</w:t>
      </w:r>
    </w:p>
    <w:p w:rsidR="00000000" w:rsidDel="00000000" w:rsidP="00000000" w:rsidRDefault="00000000" w:rsidRPr="00000000" w14:paraId="00000008">
      <w:pPr>
        <w:numPr>
          <w:ilvl w:val="1"/>
          <w:numId w:val="2"/>
        </w:numPr>
        <w:ind w:left="1440" w:hanging="360"/>
        <w:rPr>
          <w:u w:val="none"/>
        </w:rPr>
      </w:pPr>
      <w:r w:rsidDel="00000000" w:rsidR="00000000" w:rsidRPr="00000000">
        <w:rPr>
          <w:rtl w:val="0"/>
        </w:rPr>
        <w:t xml:space="preserve">Payment Agreement options include the following:</w:t>
      </w:r>
    </w:p>
    <w:p w:rsidR="00000000" w:rsidDel="00000000" w:rsidP="00000000" w:rsidRDefault="00000000" w:rsidRPr="00000000" w14:paraId="00000009">
      <w:pPr>
        <w:numPr>
          <w:ilvl w:val="2"/>
          <w:numId w:val="2"/>
        </w:numPr>
        <w:ind w:left="2160" w:hanging="360"/>
        <w:rPr>
          <w:u w:val="none"/>
        </w:rPr>
      </w:pPr>
      <w:r w:rsidDel="00000000" w:rsidR="00000000" w:rsidRPr="00000000">
        <w:rPr>
          <w:rtl w:val="0"/>
        </w:rPr>
        <w:t xml:space="preserve">4 monthly payments - 25% of total invoice each month with the first payment occurring prior to the patient leaving</w:t>
      </w:r>
    </w:p>
    <w:p w:rsidR="00000000" w:rsidDel="00000000" w:rsidP="00000000" w:rsidRDefault="00000000" w:rsidRPr="00000000" w14:paraId="0000000A">
      <w:pPr>
        <w:numPr>
          <w:ilvl w:val="2"/>
          <w:numId w:val="2"/>
        </w:numPr>
        <w:ind w:left="2160" w:hanging="360"/>
        <w:rPr>
          <w:u w:val="none"/>
        </w:rPr>
      </w:pPr>
      <w:r w:rsidDel="00000000" w:rsidR="00000000" w:rsidRPr="00000000">
        <w:rPr>
          <w:rtl w:val="0"/>
        </w:rPr>
        <w:t xml:space="preserve">2 monthly payments - 50% prior to patient leaving and 50% in 1 month.</w:t>
      </w:r>
    </w:p>
    <w:p w:rsidR="00000000" w:rsidDel="00000000" w:rsidP="00000000" w:rsidRDefault="00000000" w:rsidRPr="00000000" w14:paraId="0000000B">
      <w:pPr>
        <w:rPr/>
      </w:pPr>
      <w:r w:rsidDel="00000000" w:rsidR="00000000" w:rsidRPr="00000000">
        <w:rPr>
          <w:rtl w:val="0"/>
        </w:rPr>
        <w:t xml:space="preserve">Additionally;</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All products that can be scripted out to a pharmacy should be called in, and not filled by  [Clinic Name].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All unpaid invoices must have a Client Communication note put into the patient clipboard. In this note an explanation of why they did not pay, a summary of the terms they accepted in the payment agreement, and then who approved it are required within the note.</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A copy of all invoices unpaid (including euthanasia’s and trade clients) should be placed in the Director of IT mailbox for review.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To summarize the above SOP, all clients/patients exiting the building with unpaid invoices must be a trade service client, or have a payment agreement in place. Additionally a note has been placed in the file, and a copy of the unpaid invoice is placed in the Director of IT’s mailbox. </w:t>
      </w:r>
    </w:p>
    <w:p w:rsidR="00000000" w:rsidDel="00000000" w:rsidP="00000000" w:rsidRDefault="00000000" w:rsidRPr="00000000" w14:paraId="00000011">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