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jc w:val="center"/>
        <w:rPr>
          <w:b w:val="1"/>
          <w:bCs w:val="1"/>
          <w:sz w:val="46"/>
          <w:szCs w:val="46"/>
        </w:rPr>
      </w:pPr>
      <w:r w:rsidDel="00000000" w:rsidR="00000000" w:rsidRPr="00000000">
        <w:rPr>
          <w:b w:val="1"/>
          <w:bCs w:val="1"/>
          <w:sz w:val="46"/>
          <w:szCs w:val="46"/>
          <w:rtl w:val="0"/>
        </w:rPr>
        <w:t xml:space="preserve">Incident Report SOP</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See “An Overview: Recording Work Related Injuries and Illnesses” for which work related injuries and illnesses should be recorded. This and all forms are found in the OSHA Incident Report binder located in the OSHA cabinet.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*Any incident that needs medical attention must be recorded. If first aid is used only, the incident does not need to be recorded*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Fill out OSHA Form 301 – “Injury and Illness Incident Report” within 7 days of incident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Place in employee file (must be kept for 5 years)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Fill out OSHA Form 300 – “Log of Work Related Injuries and Illnesses”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At the end of each year, OSHA Form 300A – “Summary of Work Related Injuries and Illnesses” must be filled out and shared with the entire staff.  </w:t>
      </w:r>
    </w:p>
    <w:p w:rsidR="00000000" w:rsidDel="00000000" w:rsidP="00000000" w:rsidRDefault="00000000" w:rsidRPr="00000000" w14:paraId="0000000F">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